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rPr>
      </w:pPr>
      <w:bookmarkStart w:id="0" w:name="_GoBack"/>
      <w:bookmarkEnd w:id="0"/>
      <w:r>
        <w:rPr>
          <w:rFonts w:hint="eastAsia"/>
        </w:rPr>
        <w:t>附件：</w:t>
      </w:r>
    </w:p>
    <w:p>
      <w:pPr>
        <w:jc w:val="center"/>
        <w:rPr>
          <w:rFonts w:hint="eastAsia" w:eastAsia="黑体"/>
          <w:sz w:val="32"/>
          <w:szCs w:val="32"/>
        </w:rPr>
      </w:pPr>
      <w:r>
        <w:rPr>
          <w:rFonts w:hint="eastAsia" w:eastAsia="黑体"/>
          <w:sz w:val="32"/>
          <w:szCs w:val="32"/>
        </w:rPr>
        <w:t>西藏职业技术学院《课程思政示范项目及辐射能力打造》项目招标文件</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4197"/>
        <w:gridCol w:w="499"/>
        <w:gridCol w:w="427"/>
        <w:gridCol w:w="79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1" w:type="pct"/>
            <w:vAlign w:val="center"/>
          </w:tcPr>
          <w:p>
            <w:pPr>
              <w:widowControl/>
              <w:jc w:val="center"/>
              <w:rPr>
                <w:rFonts w:eastAsia="宋体" w:asciiTheme="minorEastAsia" w:hAnsiTheme="minorEastAsia" w:cstheme="minorEastAsia"/>
                <w:b/>
                <w:bCs/>
                <w:color w:val="000000" w:themeColor="text1"/>
                <w:kern w:val="0"/>
                <w:sz w:val="21"/>
                <w:szCs w:val="21"/>
                <w14:textFill>
                  <w14:solidFill>
                    <w14:schemeClr w14:val="tx1"/>
                  </w14:solidFill>
                </w14:textFill>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建设项目</w:t>
            </w:r>
          </w:p>
        </w:tc>
        <w:tc>
          <w:tcPr>
            <w:tcW w:w="2469" w:type="pct"/>
            <w:vAlign w:val="center"/>
          </w:tcPr>
          <w:p>
            <w:pPr>
              <w:widowControl/>
              <w:jc w:val="center"/>
              <w:rPr>
                <w:rFonts w:eastAsia="宋体" w:asciiTheme="minorEastAsia" w:hAnsiTheme="minorEastAsia" w:cstheme="minorEastAsia"/>
                <w:b/>
                <w:bCs/>
                <w:color w:val="000000" w:themeColor="text1"/>
                <w:kern w:val="0"/>
                <w:sz w:val="21"/>
                <w:szCs w:val="21"/>
                <w14:textFill>
                  <w14:solidFill>
                    <w14:schemeClr w14:val="tx1"/>
                  </w14:solidFill>
                </w14:textFill>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项目内容</w:t>
            </w:r>
          </w:p>
        </w:tc>
        <w:tc>
          <w:tcPr>
            <w:tcW w:w="299" w:type="pct"/>
            <w:vAlign w:val="center"/>
          </w:tcPr>
          <w:p>
            <w:pPr>
              <w:widowControl/>
              <w:jc w:val="center"/>
              <w:rPr>
                <w:rFonts w:eastAsia="宋体" w:asciiTheme="minorEastAsia" w:hAnsiTheme="minorEastAsia" w:cstheme="minorEastAsia"/>
                <w:b/>
                <w:bCs/>
                <w:color w:val="000000" w:themeColor="text1"/>
                <w:kern w:val="0"/>
                <w:sz w:val="21"/>
                <w:szCs w:val="21"/>
                <w14:textFill>
                  <w14:solidFill>
                    <w14:schemeClr w14:val="tx1"/>
                  </w14:solidFill>
                </w14:textFill>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数量</w:t>
            </w:r>
          </w:p>
        </w:tc>
        <w:tc>
          <w:tcPr>
            <w:tcW w:w="218" w:type="pct"/>
            <w:vAlign w:val="center"/>
          </w:tcPr>
          <w:p>
            <w:pPr>
              <w:widowControl/>
              <w:jc w:val="center"/>
              <w:rPr>
                <w:rFonts w:eastAsia="宋体" w:asciiTheme="minorEastAsia" w:hAnsiTheme="minorEastAsia" w:cstheme="minorEastAsia"/>
                <w:b/>
                <w:bCs/>
                <w:color w:val="000000" w:themeColor="text1"/>
                <w:kern w:val="0"/>
                <w:sz w:val="21"/>
                <w:szCs w:val="21"/>
                <w14:textFill>
                  <w14:solidFill>
                    <w14:schemeClr w14:val="tx1"/>
                  </w14:solidFill>
                </w14:textFill>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单位</w:t>
            </w:r>
          </w:p>
        </w:tc>
        <w:tc>
          <w:tcPr>
            <w:tcW w:w="473" w:type="pct"/>
            <w:vAlign w:val="center"/>
          </w:tcPr>
          <w:p>
            <w:pPr>
              <w:widowControl/>
              <w:jc w:val="center"/>
              <w:rPr>
                <w:rFonts w:ascii="Times New Roman" w:hAnsi="Times New Roman" w:eastAsia="宋体" w:cs="Times New Roman"/>
                <w:b/>
                <w:bCs/>
                <w:color w:val="0D0D0D" w:themeColor="text1" w:themeTint="F2"/>
                <w:kern w:val="0"/>
                <w:sz w:val="20"/>
                <w:szCs w:val="20"/>
                <w14:textFill>
                  <w14:solidFill>
                    <w14:schemeClr w14:val="tx1">
                      <w14:lumMod w14:val="95000"/>
                      <w14:lumOff w14:val="5000"/>
                    </w14:schemeClr>
                  </w14:solidFill>
                </w14:textFill>
              </w:rPr>
            </w:pPr>
            <w:r>
              <w:rPr>
                <w:rFonts w:hint="eastAsia" w:ascii="Times New Roman" w:hAnsi="Times New Roman" w:eastAsia="宋体" w:cs="Times New Roman"/>
                <w:b/>
                <w:bCs/>
                <w:color w:val="0D0D0D" w:themeColor="text1" w:themeTint="F2"/>
                <w:kern w:val="0"/>
                <w:sz w:val="20"/>
                <w:szCs w:val="20"/>
                <w14:textFill>
                  <w14:solidFill>
                    <w14:schemeClr w14:val="tx1">
                      <w14:lumMod w14:val="95000"/>
                      <w14:lumOff w14:val="5000"/>
                    </w14:schemeClr>
                  </w14:solidFill>
                </w14:textFill>
              </w:rPr>
              <w:t>单价</w:t>
            </w:r>
          </w:p>
          <w:p>
            <w:pPr>
              <w:pStyle w:val="2"/>
              <w:spacing w:line="240" w:lineRule="auto"/>
              <w:ind w:left="0" w:firstLine="0" w:firstLineChars="0"/>
              <w:rPr>
                <w:rFonts w:eastAsia="宋体" w:asciiTheme="minorEastAsia" w:hAnsiTheme="minorEastAsia" w:cstheme="minorEastAsia"/>
                <w:b/>
                <w:bCs/>
                <w:color w:val="000000" w:themeColor="text1"/>
                <w:kern w:val="0"/>
                <w:sz w:val="21"/>
                <w:szCs w:val="21"/>
                <w14:textFill>
                  <w14:solidFill>
                    <w14:schemeClr w14:val="tx1"/>
                  </w14:solidFill>
                </w14:textFill>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(万元)</w:t>
            </w:r>
          </w:p>
        </w:tc>
        <w:tc>
          <w:tcPr>
            <w:tcW w:w="490" w:type="pct"/>
            <w:vAlign w:val="center"/>
          </w:tcPr>
          <w:p>
            <w:pPr>
              <w:widowControl/>
              <w:jc w:val="center"/>
              <w:rPr>
                <w:rFonts w:ascii="Times New Roman" w:hAnsi="Times New Roman" w:eastAsia="宋体" w:cs="Times New Roman"/>
                <w:b/>
                <w:bCs/>
                <w:color w:val="0000FF"/>
                <w:kern w:val="0"/>
                <w:sz w:val="20"/>
                <w:szCs w:val="20"/>
              </w:rPr>
            </w:pPr>
            <w:r>
              <w:rPr>
                <w:rFonts w:hint="eastAsia" w:ascii="Times New Roman" w:hAnsi="Times New Roman" w:eastAsia="宋体" w:cs="Times New Roman"/>
                <w:b/>
                <w:bCs/>
                <w:color w:val="0D0D0D" w:themeColor="text1" w:themeTint="F2"/>
                <w:kern w:val="0"/>
                <w:sz w:val="20"/>
                <w:szCs w:val="20"/>
                <w14:textFill>
                  <w14:solidFill>
                    <w14:schemeClr w14:val="tx1">
                      <w14:lumMod w14:val="95000"/>
                      <w14:lumOff w14:val="5000"/>
                    </w14:schemeClr>
                  </w14:solidFill>
                </w14:textFill>
              </w:rPr>
              <w:t>总价</w:t>
            </w:r>
          </w:p>
          <w:p>
            <w:pPr>
              <w:pStyle w:val="2"/>
              <w:spacing w:line="240" w:lineRule="auto"/>
              <w:ind w:left="0" w:firstLine="0" w:firstLineChars="0"/>
              <w:jc w:val="center"/>
              <w:rPr>
                <w:rFonts w:eastAsia="宋体" w:asciiTheme="minorEastAsia" w:hAnsiTheme="minorEastAsia" w:cstheme="minorEastAsia"/>
                <w:b/>
                <w:bCs/>
                <w:color w:val="0000FF"/>
                <w:kern w:val="0"/>
                <w:sz w:val="21"/>
                <w:szCs w:val="21"/>
              </w:rPr>
            </w:pPr>
            <w:r>
              <w:rPr>
                <w:rFonts w:hint="eastAsia" w:ascii="宋体" w:hAnsi="宋体" w:eastAsia="宋体" w:cs="宋体"/>
                <w:b/>
                <w:bCs/>
                <w:color w:val="0D0D0D" w:themeColor="text1" w:themeTint="F2"/>
                <w:kern w:val="0"/>
                <w:sz w:val="21"/>
                <w:szCs w:val="21"/>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1" w:type="pct"/>
            <w:vAlign w:val="center"/>
          </w:tcPr>
          <w:p>
            <w:pPr>
              <w:widowControl/>
              <w:spacing w:line="276" w:lineRule="auto"/>
              <w:jc w:val="center"/>
              <w:textAlignment w:val="center"/>
              <w:rPr>
                <w:rFonts w:eastAsia="宋体" w:asciiTheme="minorEastAsia" w:hAnsiTheme="minorEastAsia" w:cstheme="minorEastAsia"/>
                <w:kern w:val="0"/>
                <w:sz w:val="21"/>
                <w:szCs w:val="21"/>
              </w:rPr>
            </w:pPr>
            <w:r>
              <w:rPr>
                <w:rFonts w:hint="eastAsia" w:ascii="宋体" w:hAnsi="宋体" w:eastAsia="宋体" w:cs="宋体"/>
                <w:color w:val="000000"/>
                <w:kern w:val="0"/>
                <w:sz w:val="21"/>
                <w:szCs w:val="21"/>
              </w:rPr>
              <w:t>课程思政示范课程工作坊实战培训</w:t>
            </w:r>
          </w:p>
        </w:tc>
        <w:tc>
          <w:tcPr>
            <w:tcW w:w="2469" w:type="pct"/>
            <w:vAlign w:val="center"/>
          </w:tcPr>
          <w:p>
            <w:pPr>
              <w:widowControl/>
              <w:spacing w:line="276" w:lineRule="auto"/>
              <w:ind w:firstLine="210" w:firstLineChars="100"/>
              <w:jc w:val="left"/>
              <w:textAlignment w:val="center"/>
              <w:rPr>
                <w:rFonts w:ascii="宋体" w:hAnsi="宋体" w:eastAsia="宋体" w:cs="宋体"/>
                <w:color w:val="000000"/>
                <w:kern w:val="0"/>
                <w:sz w:val="21"/>
                <w:szCs w:val="21"/>
              </w:rPr>
            </w:pPr>
            <w:r>
              <w:rPr>
                <w:rFonts w:hint="eastAsia" w:ascii="宋体" w:hAnsi="宋体" w:eastAsia="宋体" w:cs="宋体"/>
                <w:kern w:val="0"/>
                <w:sz w:val="21"/>
                <w:szCs w:val="21"/>
              </w:rPr>
              <w:t>课程思政建设工作坊实战培训（系统培训课程思政示范课程体系化建设的方式方法），提高学校课程思政示范项目建设的综合能力（可多家学校同时参加）</w:t>
            </w:r>
          </w:p>
        </w:tc>
        <w:tc>
          <w:tcPr>
            <w:tcW w:w="299" w:type="pc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3</w:t>
            </w:r>
          </w:p>
        </w:tc>
        <w:tc>
          <w:tcPr>
            <w:tcW w:w="218" w:type="pc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天</w:t>
            </w:r>
          </w:p>
        </w:tc>
        <w:tc>
          <w:tcPr>
            <w:tcW w:w="473" w:type="pct"/>
            <w:vAlign w:val="center"/>
          </w:tcPr>
          <w:p>
            <w:pPr>
              <w:widowControl w:val="0"/>
              <w:jc w:val="center"/>
              <w:rPr>
                <w:rFonts w:eastAsia="宋体" w:asciiTheme="minorEastAsia" w:hAnsiTheme="minorEastAsia" w:cstheme="minorEastAsia"/>
                <w:color w:val="0000FF"/>
                <w:kern w:val="0"/>
                <w:sz w:val="21"/>
                <w:szCs w:val="21"/>
              </w:rPr>
            </w:pPr>
          </w:p>
        </w:tc>
        <w:tc>
          <w:tcPr>
            <w:tcW w:w="490" w:type="pct"/>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1" w:type="pct"/>
            <w:vMerge w:val="restart"/>
            <w:vAlign w:val="center"/>
          </w:tcPr>
          <w:p>
            <w:pPr>
              <w:widowControl w:val="0"/>
              <w:jc w:val="center"/>
              <w:rPr>
                <w:rFonts w:eastAsia="宋体" w:asciiTheme="minorEastAsia" w:hAnsiTheme="minorEastAsia" w:cstheme="minorEastAsia"/>
                <w:kern w:val="0"/>
                <w:sz w:val="21"/>
                <w:szCs w:val="21"/>
              </w:rPr>
            </w:pPr>
            <w:r>
              <w:rPr>
                <w:rFonts w:hint="eastAsia" w:eastAsia="宋体" w:asciiTheme="minorEastAsia" w:hAnsiTheme="minorEastAsia" w:cstheme="minorEastAsia"/>
                <w:color w:val="000000" w:themeColor="text1"/>
                <w:kern w:val="0"/>
                <w:sz w:val="21"/>
                <w:szCs w:val="21"/>
                <w14:textFill>
                  <w14:solidFill>
                    <w14:schemeClr w14:val="tx1"/>
                  </w14:solidFill>
                </w14:textFill>
              </w:rPr>
              <w:t>课程思政示范课程及辐射能力打造（按国家级标准）</w:t>
            </w:r>
          </w:p>
        </w:tc>
        <w:tc>
          <w:tcPr>
            <w:tcW w:w="2469" w:type="pct"/>
            <w:vAlign w:val="center"/>
          </w:tcPr>
          <w:p>
            <w:pPr>
              <w:widowControl/>
              <w:ind w:firstLine="210" w:firstLineChars="100"/>
              <w:jc w:val="left"/>
              <w:textAlignment w:val="center"/>
              <w:rPr>
                <w:rFonts w:eastAsia="宋体" w:asciiTheme="minorEastAsia" w:hAnsiTheme="minorEastAsia" w:cstheme="minorEastAsia"/>
                <w:kern w:val="0"/>
                <w:sz w:val="21"/>
                <w:szCs w:val="21"/>
              </w:rPr>
            </w:pPr>
            <w:r>
              <w:rPr>
                <w:rFonts w:hint="eastAsia" w:ascii="宋体" w:hAnsi="宋体" w:eastAsia="宋体" w:cs="宋体"/>
                <w:color w:val="000000"/>
                <w:kern w:val="0"/>
                <w:sz w:val="21"/>
                <w:szCs w:val="21"/>
                <w:lang w:bidi="ar"/>
              </w:rPr>
              <w:t>国家级专家对课程建设团队提供的示范课程申报书集中审核指导修改1次，在课程申报期间提供全方位指导与答疑修改服务。</w:t>
            </w:r>
          </w:p>
        </w:tc>
        <w:tc>
          <w:tcPr>
            <w:tcW w:w="299" w:type="pct"/>
            <w:vMerge w:val="restar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2</w:t>
            </w:r>
          </w:p>
        </w:tc>
        <w:tc>
          <w:tcPr>
            <w:tcW w:w="218" w:type="pct"/>
            <w:vMerge w:val="restar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门</w:t>
            </w:r>
          </w:p>
        </w:tc>
        <w:tc>
          <w:tcPr>
            <w:tcW w:w="473" w:type="pct"/>
            <w:vMerge w:val="restart"/>
            <w:vAlign w:val="center"/>
          </w:tcPr>
          <w:p>
            <w:pPr>
              <w:widowControl w:val="0"/>
              <w:jc w:val="center"/>
              <w:rPr>
                <w:rFonts w:eastAsia="宋体" w:asciiTheme="minorEastAsia" w:hAnsiTheme="minorEastAsia" w:cstheme="minorEastAsia"/>
                <w:color w:val="0000FF"/>
                <w:kern w:val="0"/>
                <w:sz w:val="21"/>
                <w:szCs w:val="21"/>
              </w:rPr>
            </w:pPr>
          </w:p>
        </w:tc>
        <w:tc>
          <w:tcPr>
            <w:tcW w:w="490" w:type="pct"/>
            <w:vMerge w:val="restart"/>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1" w:type="pct"/>
            <w:vMerge w:val="continue"/>
            <w:vAlign w:val="center"/>
          </w:tcPr>
          <w:p>
            <w:pPr>
              <w:widowControl w:val="0"/>
              <w:jc w:val="center"/>
              <w:rPr>
                <w:rFonts w:ascii="宋体" w:hAnsi="宋体" w:eastAsia="宋体" w:cs="宋体"/>
                <w:color w:val="000000"/>
                <w:kern w:val="0"/>
                <w:sz w:val="21"/>
                <w:szCs w:val="21"/>
              </w:rPr>
            </w:pPr>
          </w:p>
        </w:tc>
        <w:tc>
          <w:tcPr>
            <w:tcW w:w="2469" w:type="pct"/>
            <w:vAlign w:val="center"/>
          </w:tcPr>
          <w:p>
            <w:pPr>
              <w:widowControl/>
              <w:ind w:firstLine="210" w:firstLineChars="100"/>
              <w:jc w:val="left"/>
              <w:textAlignment w:val="center"/>
              <w:rPr>
                <w:rFonts w:ascii="宋体" w:hAnsi="宋体" w:eastAsia="宋体" w:cs="宋体"/>
                <w:kern w:val="0"/>
                <w:sz w:val="20"/>
                <w:szCs w:val="20"/>
              </w:rPr>
            </w:pPr>
            <w:r>
              <w:rPr>
                <w:rFonts w:hint="eastAsia" w:ascii="宋体" w:hAnsi="宋体" w:eastAsia="宋体" w:cs="宋体"/>
                <w:color w:val="000000"/>
                <w:kern w:val="0"/>
                <w:sz w:val="21"/>
                <w:szCs w:val="21"/>
                <w:lang w:bidi="ar"/>
              </w:rPr>
              <w:t>国家级专家对课程建设团队提供的1套人才培养方案、1套课程标准、3个教学设计、3个微视频脚本集中审核指导修改1次，在课程申报期间提供全方位指导与答疑修改服务。</w:t>
            </w:r>
          </w:p>
        </w:tc>
        <w:tc>
          <w:tcPr>
            <w:tcW w:w="299"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218"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73"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90" w:type="pct"/>
            <w:vMerge w:val="continue"/>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051" w:type="pct"/>
            <w:vMerge w:val="continue"/>
            <w:vAlign w:val="center"/>
          </w:tcPr>
          <w:p>
            <w:pPr>
              <w:widowControl w:val="0"/>
              <w:jc w:val="center"/>
              <w:rPr>
                <w:rFonts w:ascii="宋体" w:hAnsi="宋体" w:eastAsia="宋体" w:cs="宋体"/>
                <w:color w:val="000000"/>
                <w:kern w:val="0"/>
                <w:sz w:val="21"/>
                <w:szCs w:val="21"/>
              </w:rPr>
            </w:pPr>
          </w:p>
        </w:tc>
        <w:tc>
          <w:tcPr>
            <w:tcW w:w="2469" w:type="pct"/>
            <w:vAlign w:val="center"/>
          </w:tcPr>
          <w:p>
            <w:pPr>
              <w:widowControl/>
              <w:ind w:firstLine="210" w:firstLineChars="100"/>
              <w:jc w:val="left"/>
              <w:textAlignment w:val="center"/>
              <w:rPr>
                <w:rFonts w:ascii="宋体" w:hAnsi="宋体" w:eastAsia="宋体" w:cs="宋体"/>
                <w:kern w:val="0"/>
                <w:sz w:val="20"/>
                <w:szCs w:val="20"/>
              </w:rPr>
            </w:pPr>
            <w:r>
              <w:rPr>
                <w:rStyle w:val="7"/>
                <w:rFonts w:hint="default"/>
                <w:kern w:val="0"/>
                <w:sz w:val="21"/>
                <w:szCs w:val="21"/>
                <w:lang w:bidi="ar"/>
              </w:rPr>
              <w:t>将示范课建设成果在本公司全国性的思政资源库云平台的示范课程栏目中展示，并提供独立的课程展示地址</w:t>
            </w:r>
          </w:p>
        </w:tc>
        <w:tc>
          <w:tcPr>
            <w:tcW w:w="299"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218"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73"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90" w:type="pct"/>
            <w:vMerge w:val="continue"/>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51" w:type="pct"/>
            <w:vMerge w:val="continue"/>
            <w:vAlign w:val="center"/>
          </w:tcPr>
          <w:p>
            <w:pPr>
              <w:widowControl w:val="0"/>
              <w:jc w:val="center"/>
              <w:rPr>
                <w:rFonts w:eastAsia="宋体" w:asciiTheme="minorEastAsia" w:hAnsiTheme="minorEastAsia" w:cstheme="minorEastAsia"/>
                <w:kern w:val="0"/>
                <w:sz w:val="21"/>
                <w:szCs w:val="21"/>
              </w:rPr>
            </w:pPr>
          </w:p>
        </w:tc>
        <w:tc>
          <w:tcPr>
            <w:tcW w:w="2469" w:type="pct"/>
            <w:vAlign w:val="center"/>
          </w:tcPr>
          <w:p>
            <w:pPr>
              <w:widowControl/>
              <w:ind w:firstLine="210" w:firstLineChars="100"/>
              <w:jc w:val="left"/>
              <w:textAlignment w:val="center"/>
              <w:rPr>
                <w:rFonts w:ascii="宋体" w:hAnsi="宋体" w:eastAsia="宋体" w:cs="宋体"/>
                <w:color w:val="000000"/>
                <w:kern w:val="0"/>
                <w:sz w:val="21"/>
                <w:szCs w:val="21"/>
                <w:lang w:bidi="ar"/>
              </w:rPr>
            </w:pPr>
            <w:r>
              <w:rPr>
                <w:rStyle w:val="7"/>
                <w:rFonts w:hint="default"/>
                <w:kern w:val="0"/>
                <w:sz w:val="21"/>
                <w:szCs w:val="21"/>
                <w:lang w:bidi="ar"/>
              </w:rPr>
              <w:t>将示范课展示地址在</w:t>
            </w:r>
            <w:r>
              <w:rPr>
                <w:rFonts w:hint="eastAsia" w:ascii="宋体" w:hAnsi="宋体" w:eastAsia="宋体" w:cs="宋体"/>
                <w:color w:val="000000"/>
                <w:kern w:val="0"/>
                <w:sz w:val="21"/>
                <w:szCs w:val="21"/>
                <w:lang w:bidi="ar"/>
              </w:rPr>
              <w:t>200</w:t>
            </w:r>
            <w:r>
              <w:rPr>
                <w:rStyle w:val="7"/>
                <w:rFonts w:hint="default"/>
                <w:kern w:val="0"/>
                <w:sz w:val="21"/>
                <w:szCs w:val="21"/>
                <w:lang w:bidi="ar"/>
              </w:rPr>
              <w:t>个微信群（每个群至少100人）进行宣传推广</w:t>
            </w:r>
          </w:p>
        </w:tc>
        <w:tc>
          <w:tcPr>
            <w:tcW w:w="299"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218"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73"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90" w:type="pct"/>
            <w:vMerge w:val="continue"/>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51" w:type="pct"/>
            <w:vMerge w:val="continue"/>
            <w:vAlign w:val="center"/>
          </w:tcPr>
          <w:p>
            <w:pPr>
              <w:widowControl w:val="0"/>
              <w:jc w:val="center"/>
              <w:rPr>
                <w:rFonts w:eastAsia="宋体" w:asciiTheme="minorEastAsia" w:hAnsiTheme="minorEastAsia" w:cstheme="minorEastAsia"/>
                <w:kern w:val="0"/>
                <w:sz w:val="21"/>
                <w:szCs w:val="21"/>
              </w:rPr>
            </w:pPr>
          </w:p>
        </w:tc>
        <w:tc>
          <w:tcPr>
            <w:tcW w:w="2469" w:type="pct"/>
            <w:vAlign w:val="center"/>
          </w:tcPr>
          <w:p>
            <w:pPr>
              <w:widowControl/>
              <w:ind w:firstLine="210" w:firstLineChars="100"/>
              <w:textAlignment w:val="center"/>
              <w:rPr>
                <w:rStyle w:val="7"/>
                <w:rFonts w:hint="default"/>
                <w:kern w:val="0"/>
                <w:sz w:val="21"/>
                <w:szCs w:val="21"/>
                <w:lang w:bidi="ar"/>
              </w:rPr>
            </w:pPr>
            <w:r>
              <w:rPr>
                <w:rStyle w:val="7"/>
                <w:rFonts w:hint="default"/>
                <w:kern w:val="0"/>
                <w:sz w:val="21"/>
                <w:szCs w:val="21"/>
                <w:lang w:bidi="ar"/>
              </w:rPr>
              <w:t>如最终未能申报成功，每门课程按照85%的费用予以支付。</w:t>
            </w:r>
          </w:p>
        </w:tc>
        <w:tc>
          <w:tcPr>
            <w:tcW w:w="299"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218"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73" w:type="pct"/>
            <w:vMerge w:val="continue"/>
            <w:vAlign w:val="center"/>
          </w:tcPr>
          <w:p>
            <w:pPr>
              <w:widowControl w:val="0"/>
              <w:jc w:val="center"/>
              <w:rPr>
                <w:rFonts w:eastAsia="宋体" w:asciiTheme="minorEastAsia" w:hAnsiTheme="minorEastAsia" w:cstheme="minorEastAsia"/>
                <w:color w:val="0000FF"/>
                <w:kern w:val="0"/>
                <w:sz w:val="21"/>
                <w:szCs w:val="21"/>
              </w:rPr>
            </w:pPr>
          </w:p>
        </w:tc>
        <w:tc>
          <w:tcPr>
            <w:tcW w:w="490" w:type="pct"/>
            <w:vMerge w:val="continue"/>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51" w:type="pct"/>
            <w:vAlign w:val="center"/>
          </w:tcPr>
          <w:p>
            <w:pPr>
              <w:widowControl/>
              <w:spacing w:line="276" w:lineRule="auto"/>
              <w:jc w:val="center"/>
              <w:textAlignment w:val="center"/>
              <w:rPr>
                <w:rFonts w:eastAsia="宋体" w:asciiTheme="minorEastAsia" w:hAnsiTheme="minorEastAsia" w:cstheme="minorEastAsia"/>
                <w:color w:val="000000" w:themeColor="text1"/>
                <w:kern w:val="0"/>
                <w:sz w:val="21"/>
                <w:szCs w:val="21"/>
                <w14:textFill>
                  <w14:solidFill>
                    <w14:schemeClr w14:val="tx1"/>
                  </w14:solidFill>
                </w14:textFill>
              </w:rPr>
            </w:pPr>
            <w:r>
              <w:rPr>
                <w:rFonts w:hint="eastAsia" w:ascii="宋体" w:hAnsi="宋体" w:eastAsia="宋体" w:cs="宋体"/>
                <w:color w:val="000000"/>
                <w:kern w:val="0"/>
                <w:sz w:val="21"/>
                <w:szCs w:val="21"/>
              </w:rPr>
              <w:t>课程思政优秀教育案例及辐射能力打造（国家级标准）</w:t>
            </w:r>
          </w:p>
        </w:tc>
        <w:tc>
          <w:tcPr>
            <w:tcW w:w="2469" w:type="pct"/>
            <w:vAlign w:val="center"/>
          </w:tcPr>
          <w:p>
            <w:pPr>
              <w:widowControl/>
              <w:spacing w:line="276" w:lineRule="auto"/>
              <w:ind w:firstLine="210" w:firstLineChars="100"/>
              <w:jc w:val="left"/>
              <w:textAlignment w:val="center"/>
              <w:rPr>
                <w:rFonts w:ascii="宋体" w:hAnsi="宋体" w:eastAsia="宋体" w:cs="宋体"/>
                <w:kern w:val="0"/>
                <w:sz w:val="21"/>
                <w:szCs w:val="21"/>
              </w:rPr>
            </w:pPr>
            <w:r>
              <w:rPr>
                <w:rFonts w:hint="eastAsia" w:ascii="宋体" w:hAnsi="宋体" w:eastAsia="宋体" w:cs="宋体"/>
                <w:kern w:val="0"/>
                <w:sz w:val="21"/>
                <w:szCs w:val="21"/>
              </w:rPr>
              <w:t>按照国家级课程思政教育优秀案例的申报要求及标准，打造课程思政教育优秀案例，包括案例遴选、案例打磨、案例展示、微信推广和作品登记等工作内容</w:t>
            </w:r>
          </w:p>
          <w:p>
            <w:pPr>
              <w:widowControl/>
              <w:spacing w:line="276" w:lineRule="auto"/>
              <w:ind w:firstLine="210" w:firstLineChars="100"/>
              <w:jc w:val="left"/>
              <w:textAlignment w:val="center"/>
              <w:rPr>
                <w:rFonts w:ascii="Times New Roman" w:hAnsi="Times New Roman" w:eastAsia="宋体" w:cs="Times New Roman"/>
                <w:kern w:val="0"/>
                <w:sz w:val="20"/>
                <w:szCs w:val="20"/>
              </w:rPr>
            </w:pPr>
            <w:r>
              <w:rPr>
                <w:rFonts w:ascii="宋体" w:hAnsi="宋体" w:eastAsia="宋体" w:cs="宋体"/>
                <w:kern w:val="0"/>
                <w:sz w:val="21"/>
                <w:szCs w:val="21"/>
              </w:rPr>
              <w:t>如最终未能申报成功，每</w:t>
            </w:r>
            <w:r>
              <w:rPr>
                <w:rFonts w:hint="eastAsia" w:ascii="宋体" w:hAnsi="宋体" w:eastAsia="宋体" w:cs="宋体"/>
                <w:kern w:val="0"/>
                <w:sz w:val="21"/>
                <w:szCs w:val="21"/>
              </w:rPr>
              <w:t>个</w:t>
            </w:r>
            <w:r>
              <w:rPr>
                <w:rFonts w:ascii="宋体" w:hAnsi="宋体" w:eastAsia="宋体" w:cs="宋体"/>
                <w:kern w:val="0"/>
                <w:sz w:val="21"/>
                <w:szCs w:val="21"/>
              </w:rPr>
              <w:t>案例按照</w:t>
            </w:r>
            <w:r>
              <w:rPr>
                <w:rFonts w:hint="eastAsia" w:ascii="宋体" w:hAnsi="宋体" w:eastAsia="宋体" w:cs="宋体"/>
                <w:kern w:val="0"/>
                <w:sz w:val="21"/>
                <w:szCs w:val="21"/>
              </w:rPr>
              <w:t>85</w:t>
            </w:r>
            <w:r>
              <w:rPr>
                <w:rFonts w:ascii="宋体" w:hAnsi="宋体" w:eastAsia="宋体" w:cs="宋体"/>
                <w:kern w:val="0"/>
                <w:sz w:val="21"/>
                <w:szCs w:val="21"/>
              </w:rPr>
              <w:t>%的费用予以支付。</w:t>
            </w:r>
          </w:p>
        </w:tc>
        <w:tc>
          <w:tcPr>
            <w:tcW w:w="299" w:type="pc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2</w:t>
            </w:r>
          </w:p>
        </w:tc>
        <w:tc>
          <w:tcPr>
            <w:tcW w:w="218" w:type="pct"/>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FF"/>
                <w:kern w:val="0"/>
                <w:sz w:val="21"/>
                <w:szCs w:val="21"/>
              </w:rPr>
              <w:t>个</w:t>
            </w:r>
          </w:p>
        </w:tc>
        <w:tc>
          <w:tcPr>
            <w:tcW w:w="473" w:type="pct"/>
            <w:vAlign w:val="center"/>
          </w:tcPr>
          <w:p>
            <w:pPr>
              <w:widowControl w:val="0"/>
              <w:jc w:val="center"/>
              <w:rPr>
                <w:rFonts w:eastAsia="宋体" w:asciiTheme="minorEastAsia" w:hAnsiTheme="minorEastAsia" w:cstheme="minorEastAsia"/>
                <w:color w:val="0000FF"/>
                <w:kern w:val="0"/>
                <w:sz w:val="21"/>
                <w:szCs w:val="21"/>
              </w:rPr>
            </w:pPr>
          </w:p>
        </w:tc>
        <w:tc>
          <w:tcPr>
            <w:tcW w:w="490" w:type="pct"/>
            <w:vAlign w:val="center"/>
          </w:tcPr>
          <w:p>
            <w:pPr>
              <w:widowControl w:val="0"/>
              <w:jc w:val="center"/>
              <w:rPr>
                <w:rFonts w:eastAsia="宋体" w:asciiTheme="minorEastAsia" w:hAnsiTheme="minorEastAsia" w:cstheme="minorEastAsia"/>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510" w:type="pct"/>
            <w:gridSpan w:val="5"/>
            <w:vAlign w:val="center"/>
          </w:tcPr>
          <w:p>
            <w:pPr>
              <w:widowControl w:val="0"/>
              <w:jc w:val="center"/>
              <w:rPr>
                <w:rFonts w:eastAsia="宋体" w:asciiTheme="minorEastAsia" w:hAnsiTheme="minorEastAsia" w:cstheme="minorEastAsia"/>
                <w:color w:val="0000FF"/>
                <w:kern w:val="0"/>
                <w:sz w:val="21"/>
                <w:szCs w:val="21"/>
              </w:rPr>
            </w:pPr>
            <w:r>
              <w:rPr>
                <w:rFonts w:hint="eastAsia" w:eastAsia="宋体" w:asciiTheme="minorEastAsia" w:hAnsiTheme="minorEastAsia" w:cstheme="minorEastAsia"/>
                <w:color w:val="000000" w:themeColor="text1"/>
                <w:kern w:val="0"/>
                <w:sz w:val="21"/>
                <w:szCs w:val="21"/>
                <w14:textFill>
                  <w14:solidFill>
                    <w14:schemeClr w14:val="tx1"/>
                  </w14:solidFill>
                </w14:textFill>
              </w:rPr>
              <w:t>合计</w:t>
            </w:r>
          </w:p>
        </w:tc>
        <w:tc>
          <w:tcPr>
            <w:tcW w:w="490" w:type="pct"/>
            <w:vAlign w:val="center"/>
          </w:tcPr>
          <w:p>
            <w:pPr>
              <w:widowControl w:val="0"/>
              <w:jc w:val="center"/>
              <w:rPr>
                <w:rFonts w:eastAsia="宋体" w:asciiTheme="minorEastAsia" w:hAnsiTheme="minorEastAsia" w:cstheme="minorEastAsia"/>
                <w:color w:val="0000FF"/>
                <w:kern w:val="0"/>
                <w:sz w:val="21"/>
                <w:szCs w:val="21"/>
              </w:rPr>
            </w:pPr>
          </w:p>
        </w:tc>
      </w:tr>
    </w:tbl>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51"/>
    <w:rsid w:val="0000082E"/>
    <w:rsid w:val="000B7922"/>
    <w:rsid w:val="001A596C"/>
    <w:rsid w:val="00212562"/>
    <w:rsid w:val="002E191B"/>
    <w:rsid w:val="0039574F"/>
    <w:rsid w:val="003A1968"/>
    <w:rsid w:val="003A46C5"/>
    <w:rsid w:val="003D51B4"/>
    <w:rsid w:val="00452F6B"/>
    <w:rsid w:val="004873BB"/>
    <w:rsid w:val="00576C69"/>
    <w:rsid w:val="006766C0"/>
    <w:rsid w:val="006E42B3"/>
    <w:rsid w:val="007057EE"/>
    <w:rsid w:val="00A27551"/>
    <w:rsid w:val="00BE4C12"/>
    <w:rsid w:val="00C14E72"/>
    <w:rsid w:val="00DD081A"/>
    <w:rsid w:val="00FD02D1"/>
    <w:rsid w:val="3DA2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
    <w:qFormat/>
    <w:uiPriority w:val="1"/>
    <w:pPr>
      <w:widowControl w:val="0"/>
      <w:spacing w:line="360" w:lineRule="auto"/>
      <w:ind w:left="586" w:firstLine="200" w:firstLineChars="200"/>
      <w:jc w:val="left"/>
    </w:pPr>
    <w:rPr>
      <w:sz w:val="24"/>
      <w:szCs w:val="24"/>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正文文本 Char"/>
    <w:basedOn w:val="5"/>
    <w:link w:val="2"/>
    <w:qFormat/>
    <w:uiPriority w:val="1"/>
    <w:rPr>
      <w:sz w:val="24"/>
      <w:szCs w:val="24"/>
    </w:rPr>
  </w:style>
  <w:style w:type="character" w:customStyle="1" w:styleId="7">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523</Words>
  <Characters>531</Characters>
  <Lines>4</Lines>
  <Paragraphs>1</Paragraphs>
  <TotalTime>5</TotalTime>
  <ScaleCrop>false</ScaleCrop>
  <LinksUpToDate>false</LinksUpToDate>
  <CharactersWithSpaces>531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2022-04-08T10:12:00Z</dcterms:created>
  <dc:creator>admin</dc:creator>
  <cp:lastModifiedBy>姚欢</cp:lastModifiedBy>
  <dcterms:modified xsi:type="dcterms:W3CDTF">2022-04-11T10:04:49Z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505B18E4C88C42C088CAD9AADD583E52</vt:lpwstr>
  </property>
</Properties>
</file>